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AD6609">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9DF3668" w:rsidR="00F92268" w:rsidRPr="00FF66BF" w:rsidRDefault="00BF76C1" w:rsidP="00AD6609">
            <w:pPr>
              <w:pStyle w:val="RefTableData"/>
            </w:pPr>
            <w:r w:rsidRPr="00BF76C1">
              <w:t>6492-A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1C56415" w:rsidR="004B15BB" w:rsidRPr="00936DA9" w:rsidRDefault="00805ADB" w:rsidP="007E5C16">
      <w:pPr>
        <w:pStyle w:val="Heading1"/>
        <w:rPr>
          <w:color w:val="000000" w:themeColor="text1"/>
        </w:rPr>
      </w:pPr>
      <w:r w:rsidRPr="00805ADB">
        <w:t>Specialty Guideline Management</w:t>
      </w:r>
      <w:r w:rsidR="0045790D" w:rsidRPr="00BD1CC1">
        <w:br/>
      </w:r>
      <w:proofErr w:type="spellStart"/>
      <w:r w:rsidRPr="00805ADB">
        <w:t>Xolremdi</w:t>
      </w:r>
      <w:proofErr w:type="spellEnd"/>
    </w:p>
    <w:p w14:paraId="78861C92" w14:textId="5FB96DE7" w:rsidR="00203468" w:rsidRPr="00BD1CC1" w:rsidRDefault="00C64534" w:rsidP="008E0F0D">
      <w:pPr>
        <w:pStyle w:val="Heading2"/>
      </w:pPr>
      <w:r w:rsidRPr="00BD1CC1">
        <w:t xml:space="preserve">Products Referenced by this </w:t>
      </w:r>
      <w:r w:rsidR="00501602" w:rsidRPr="00BD1CC1">
        <w:t>Document</w:t>
      </w:r>
    </w:p>
    <w:p w14:paraId="5455152B" w14:textId="17DF0F83"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7011EA">
        <w:rPr>
          <w:rStyle w:val="ui-provider"/>
        </w:rPr>
        <w:t>Over-the-counter (OTC)</w:t>
      </w:r>
      <w:r w:rsidRPr="00BD1CC1">
        <w:t xml:space="preserve"> products are not included unless otherwise stated.</w:t>
      </w:r>
    </w:p>
    <w:tbl>
      <w:tblPr>
        <w:tblStyle w:val="TableGrid"/>
        <w:tblW w:w="1044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70"/>
        <w:gridCol w:w="5170"/>
      </w:tblGrid>
      <w:tr w:rsidR="00DD595D" w:rsidRPr="00BD1CC1" w14:paraId="457CEE36" w14:textId="77777777" w:rsidTr="00AD6609">
        <w:trPr>
          <w:cantSplit/>
          <w:trHeight w:val="288"/>
          <w:tblHeader/>
        </w:trPr>
        <w:tc>
          <w:tcPr>
            <w:tcW w:w="5270" w:type="dxa"/>
            <w:vAlign w:val="center"/>
          </w:tcPr>
          <w:p w14:paraId="74FADDC6" w14:textId="77777777" w:rsidR="00DD595D" w:rsidRPr="00BD1CC1" w:rsidRDefault="00DD595D">
            <w:pPr>
              <w:pStyle w:val="TableHeader"/>
            </w:pPr>
            <w:r w:rsidRPr="00BD1CC1">
              <w:t>Brand Name</w:t>
            </w:r>
          </w:p>
        </w:tc>
        <w:tc>
          <w:tcPr>
            <w:tcW w:w="5170" w:type="dxa"/>
          </w:tcPr>
          <w:p w14:paraId="571AE219" w14:textId="77777777" w:rsidR="00DD595D" w:rsidRPr="00BD1CC1" w:rsidRDefault="00DD595D">
            <w:pPr>
              <w:pStyle w:val="TableHeader"/>
            </w:pPr>
            <w:r>
              <w:t>Generic Name</w:t>
            </w:r>
          </w:p>
        </w:tc>
      </w:tr>
      <w:tr w:rsidR="00DD595D" w:rsidRPr="00BD1CC1" w14:paraId="311A3451" w14:textId="77777777" w:rsidTr="00AD6609">
        <w:trPr>
          <w:cantSplit/>
        </w:trPr>
        <w:tc>
          <w:tcPr>
            <w:tcW w:w="5270" w:type="dxa"/>
          </w:tcPr>
          <w:p w14:paraId="64CB6BA6" w14:textId="40516B2E" w:rsidR="00DD595D" w:rsidRPr="00BD1CC1" w:rsidRDefault="00805ADB">
            <w:pPr>
              <w:pStyle w:val="TableDataUnpadded"/>
            </w:pPr>
            <w:r w:rsidRPr="00805ADB">
              <w:t>Xolremdi</w:t>
            </w:r>
          </w:p>
        </w:tc>
        <w:tc>
          <w:tcPr>
            <w:tcW w:w="5170" w:type="dxa"/>
          </w:tcPr>
          <w:p w14:paraId="6AEDBDEE" w14:textId="222D704B" w:rsidR="002D352B" w:rsidRPr="00BD1CC1" w:rsidRDefault="00805ADB">
            <w:pPr>
              <w:pStyle w:val="TableDataUnpadded"/>
            </w:pPr>
            <w:r w:rsidRPr="00805ADB">
              <w:t>mavorixafor</w:t>
            </w:r>
          </w:p>
        </w:tc>
      </w:tr>
    </w:tbl>
    <w:p w14:paraId="14CE6108" w14:textId="00068CCB" w:rsidR="00FC1AAD" w:rsidRDefault="00ED052F" w:rsidP="00AA2A94">
      <w:pPr>
        <w:pStyle w:val="Heading2"/>
        <w:tabs>
          <w:tab w:val="left" w:pos="9540"/>
        </w:tabs>
      </w:pPr>
      <w:r>
        <w:t>Indications</w:t>
      </w:r>
    </w:p>
    <w:p w14:paraId="034F6C7D" w14:textId="3BED1A92" w:rsidR="00805ADB" w:rsidRPr="00DD595D" w:rsidRDefault="00805ADB" w:rsidP="00DD595D">
      <w:pPr>
        <w:pStyle w:val="BodyText"/>
      </w:pPr>
      <w:r w:rsidRPr="00805ADB">
        <w:t>The indications below including FDA-approved indications and compendial uses are considered a covered benefit provided that all the approval criteria are met and the member has no exclusions to the prescribed therapy.</w:t>
      </w:r>
    </w:p>
    <w:p w14:paraId="134B5687" w14:textId="65888699" w:rsidR="00ED052F" w:rsidRDefault="00ED052F" w:rsidP="00ED052F">
      <w:pPr>
        <w:pStyle w:val="Heading3"/>
        <w:keepNext w:val="0"/>
      </w:pPr>
      <w:r w:rsidRPr="00BD1CC1">
        <w:t>FDA-approved Indications</w:t>
      </w:r>
    </w:p>
    <w:p w14:paraId="79299646" w14:textId="2F69AC0F" w:rsidR="00805ADB" w:rsidRDefault="00805ADB" w:rsidP="00805ADB">
      <w:pPr>
        <w:pStyle w:val="BodyText"/>
      </w:pPr>
      <w:r>
        <w:t>Xolremdi is indicated in patients 12 years of age and older with WHIM syndrome (warts, hypogammaglobulinemia, infections, and myelokathexis) to increase the number of circulating mature neutrophils and lymphocytes.</w:t>
      </w:r>
    </w:p>
    <w:p w14:paraId="414E4E6C" w14:textId="4B770632" w:rsidR="00805ADB" w:rsidRPr="00805ADB" w:rsidRDefault="00805ADB" w:rsidP="00805ADB">
      <w:pPr>
        <w:pStyle w:val="BodyText"/>
      </w:pPr>
      <w:r>
        <w:t>All other indications are considered experimental/investigational and not medically necessary.</w:t>
      </w:r>
    </w:p>
    <w:p w14:paraId="36381B6D" w14:textId="3445747C" w:rsidR="000D2496" w:rsidRPr="00BD1CC1" w:rsidRDefault="000D2496" w:rsidP="002D352B">
      <w:pPr>
        <w:pStyle w:val="Heading2"/>
        <w:tabs>
          <w:tab w:val="clear" w:pos="2880"/>
          <w:tab w:val="left" w:pos="9343"/>
        </w:tabs>
      </w:pPr>
      <w:r w:rsidRPr="00BD1CC1">
        <w:t>Documentation</w:t>
      </w:r>
    </w:p>
    <w:p w14:paraId="7613028F" w14:textId="77777777" w:rsidR="00805ADB" w:rsidRDefault="00805ADB" w:rsidP="00805ADB">
      <w:pPr>
        <w:pStyle w:val="BodyText"/>
      </w:pPr>
      <w:r>
        <w:t>Submission of the following information is necessary to initiate the prior authorization review:</w:t>
      </w:r>
    </w:p>
    <w:p w14:paraId="52560D1A" w14:textId="2C9D4396" w:rsidR="00805ADB" w:rsidRDefault="00805ADB" w:rsidP="00AD6609">
      <w:pPr>
        <w:pStyle w:val="Heading3"/>
      </w:pPr>
      <w:r>
        <w:t>Initial requests:</w:t>
      </w:r>
    </w:p>
    <w:p w14:paraId="4A4180AD" w14:textId="5287F807" w:rsidR="00805ADB" w:rsidRPr="00AD6609" w:rsidRDefault="00805ADB" w:rsidP="00AD6609">
      <w:pPr>
        <w:pStyle w:val="ListParagraph"/>
        <w:numPr>
          <w:ilvl w:val="0"/>
          <w:numId w:val="21"/>
        </w:numPr>
      </w:pPr>
      <w:r w:rsidRPr="00AD6609">
        <w:t>Genetic testing results confirming a diagnosis of WHIM syndrome.</w:t>
      </w:r>
    </w:p>
    <w:p w14:paraId="4DF24BB5" w14:textId="41FA7AA1" w:rsidR="00805ADB" w:rsidRPr="00AD6609" w:rsidRDefault="00805ADB" w:rsidP="00AD6609">
      <w:pPr>
        <w:pStyle w:val="ListParagraph"/>
        <w:numPr>
          <w:ilvl w:val="0"/>
          <w:numId w:val="21"/>
        </w:numPr>
      </w:pPr>
      <w:r w:rsidRPr="00AD6609">
        <w:lastRenderedPageBreak/>
        <w:t>Laboratory results of neutrophil count.</w:t>
      </w:r>
    </w:p>
    <w:p w14:paraId="634F36F1" w14:textId="388173C0" w:rsidR="00805ADB" w:rsidRPr="00AD6609" w:rsidRDefault="00805ADB" w:rsidP="00AD6609">
      <w:pPr>
        <w:pStyle w:val="ListParagraph"/>
        <w:numPr>
          <w:ilvl w:val="0"/>
          <w:numId w:val="21"/>
        </w:numPr>
      </w:pPr>
      <w:r w:rsidRPr="00AD6609">
        <w:t>Chart notes or medical record documentation of at least one clinical manifestation of disease.</w:t>
      </w:r>
    </w:p>
    <w:p w14:paraId="500DA52A" w14:textId="28368FAF" w:rsidR="00AD6609" w:rsidRDefault="00805ADB" w:rsidP="00AD6609">
      <w:pPr>
        <w:pStyle w:val="Heading3"/>
      </w:pPr>
      <w:r>
        <w:t>Continuation requests:</w:t>
      </w:r>
    </w:p>
    <w:p w14:paraId="6A1FE538" w14:textId="0FA1DFA6" w:rsidR="002D352B" w:rsidRDefault="00805ADB" w:rsidP="00AD6609">
      <w:pPr>
        <w:pStyle w:val="ListParagraph"/>
        <w:numPr>
          <w:ilvl w:val="0"/>
          <w:numId w:val="22"/>
        </w:numPr>
      </w:pPr>
      <w:r>
        <w:t>Chart notes or medical record documentation of benefit from therapy.</w:t>
      </w:r>
    </w:p>
    <w:p w14:paraId="26D93D09" w14:textId="0D78263A" w:rsidR="00805ADB" w:rsidRDefault="00805ADB" w:rsidP="00BF76C1">
      <w:pPr>
        <w:pStyle w:val="Heading2"/>
        <w:tabs>
          <w:tab w:val="left" w:pos="9159"/>
        </w:tabs>
      </w:pPr>
      <w:r w:rsidRPr="00805ADB">
        <w:t>Prescriber Specialties</w:t>
      </w:r>
    </w:p>
    <w:p w14:paraId="721538BF" w14:textId="4D68E73C" w:rsidR="00805ADB" w:rsidRPr="00805ADB" w:rsidRDefault="00805ADB" w:rsidP="00805ADB">
      <w:pPr>
        <w:pStyle w:val="BodyText"/>
      </w:pPr>
      <w:r w:rsidRPr="00805ADB">
        <w:t>This medication must be prescribed by or in consultation with an immunologist, pediatrician, hematologist, or dermatologist.</w:t>
      </w:r>
    </w:p>
    <w:p w14:paraId="50A38FBA" w14:textId="4F806556" w:rsidR="00FE0C63" w:rsidRDefault="00685107" w:rsidP="00E050E1">
      <w:pPr>
        <w:pStyle w:val="Heading2"/>
      </w:pPr>
      <w:r>
        <w:t>Coverage Criteria</w:t>
      </w:r>
    </w:p>
    <w:p w14:paraId="6388DC3A" w14:textId="1CCC5293" w:rsidR="00805ADB" w:rsidRDefault="00805ADB" w:rsidP="00805ADB">
      <w:pPr>
        <w:pStyle w:val="Heading3"/>
      </w:pPr>
      <w:r>
        <w:t xml:space="preserve">WHIM </w:t>
      </w:r>
      <w:r w:rsidR="004C1732">
        <w:t>S</w:t>
      </w:r>
      <w:r>
        <w:t>yndrome (</w:t>
      </w:r>
      <w:r w:rsidR="004C1732">
        <w:t>W</w:t>
      </w:r>
      <w:r>
        <w:t xml:space="preserve">arts, </w:t>
      </w:r>
      <w:r w:rsidR="004C1732">
        <w:t>H</w:t>
      </w:r>
      <w:r>
        <w:t xml:space="preserve">ypogammaglobulinemia, </w:t>
      </w:r>
      <w:r w:rsidR="004C1732">
        <w:t>I</w:t>
      </w:r>
      <w:r>
        <w:t xml:space="preserve">nfections, and </w:t>
      </w:r>
      <w:proofErr w:type="spellStart"/>
      <w:r w:rsidR="004C1732">
        <w:t>M</w:t>
      </w:r>
      <w:r>
        <w:t>yelokathexis</w:t>
      </w:r>
      <w:proofErr w:type="spellEnd"/>
      <w:r>
        <w:t>)</w:t>
      </w:r>
    </w:p>
    <w:p w14:paraId="147588E5" w14:textId="77777777" w:rsidR="00805ADB" w:rsidRDefault="00805ADB" w:rsidP="00805ADB">
      <w:pPr>
        <w:pStyle w:val="BodyText"/>
      </w:pPr>
      <w:r>
        <w:t>Authorization of 6 months may be granted for treatment of WHIM syndrome when all of the following criteria are met:</w:t>
      </w:r>
    </w:p>
    <w:p w14:paraId="7C117B46" w14:textId="220395E6" w:rsidR="00805ADB" w:rsidRPr="00AD6609" w:rsidRDefault="00805ADB" w:rsidP="00AD6609">
      <w:pPr>
        <w:pStyle w:val="ListParagraph"/>
        <w:numPr>
          <w:ilvl w:val="0"/>
          <w:numId w:val="23"/>
        </w:numPr>
      </w:pPr>
      <w:r w:rsidRPr="00AD6609">
        <w:t>Member has a genotype-confirmed variant of CXCR4 gene consistent with WHIM syndrome.</w:t>
      </w:r>
    </w:p>
    <w:p w14:paraId="45B33493" w14:textId="007FAE33" w:rsidR="00805ADB" w:rsidRPr="00AD6609" w:rsidRDefault="00805ADB" w:rsidP="00AD6609">
      <w:pPr>
        <w:pStyle w:val="ListParagraph"/>
        <w:numPr>
          <w:ilvl w:val="0"/>
          <w:numId w:val="23"/>
        </w:numPr>
      </w:pPr>
      <w:r w:rsidRPr="00AD6609">
        <w:t>Member has a confirmed low neutrophil count based on the reference laboratory range or current practice guidelines.</w:t>
      </w:r>
    </w:p>
    <w:p w14:paraId="06F4C6E5" w14:textId="4F2B31F5" w:rsidR="00805ADB" w:rsidRPr="00AD6609" w:rsidRDefault="00805ADB" w:rsidP="00AD6609">
      <w:pPr>
        <w:pStyle w:val="ListParagraph"/>
        <w:numPr>
          <w:ilvl w:val="0"/>
          <w:numId w:val="23"/>
        </w:numPr>
      </w:pPr>
      <w:r w:rsidRPr="00AD6609">
        <w:t xml:space="preserve">Member exhibits at least one other clinical manifestation of disease (i.e., warts, hypogammaglobulinemia, infections, </w:t>
      </w:r>
      <w:proofErr w:type="spellStart"/>
      <w:r w:rsidRPr="00AD6609">
        <w:t>myelokathexis</w:t>
      </w:r>
      <w:proofErr w:type="spellEnd"/>
      <w:r w:rsidRPr="00AD6609">
        <w:t>, lymphopenia, monocytopenia).</w:t>
      </w:r>
    </w:p>
    <w:p w14:paraId="53C73C17" w14:textId="77777777" w:rsidR="00AD6609" w:rsidRDefault="00805ADB" w:rsidP="00AD6609">
      <w:pPr>
        <w:pStyle w:val="ListParagraph"/>
        <w:numPr>
          <w:ilvl w:val="0"/>
          <w:numId w:val="23"/>
        </w:numPr>
      </w:pPr>
      <w:r w:rsidRPr="00AD6609">
        <w:t>Member is 12 years of age or older.</w:t>
      </w:r>
    </w:p>
    <w:p w14:paraId="1A5D9A7D" w14:textId="2DD5D3E1" w:rsidR="002D352B" w:rsidRDefault="002D352B" w:rsidP="002D352B">
      <w:pPr>
        <w:pStyle w:val="Heading2"/>
      </w:pPr>
      <w:r>
        <w:t>Continuation of Therapy</w:t>
      </w:r>
    </w:p>
    <w:p w14:paraId="7B66B242" w14:textId="5CA910EE" w:rsidR="002D352B" w:rsidRPr="008246FA" w:rsidRDefault="00BF76C1" w:rsidP="00062986">
      <w:pPr>
        <w:pStyle w:val="BodyText"/>
        <w:rPr>
          <w:vertAlign w:val="superscript"/>
        </w:rPr>
      </w:pPr>
      <w:r w:rsidRPr="00BF76C1">
        <w:t>Authorization of 12 months may be granted for all members (including new members) requesting continuation of therapy when the member is experiencing benefit from therapy (e.g., improvement in absolute neutrophil count [ANC], improvement in absolute lymphocyte count [ALC], reduction in infections).</w:t>
      </w:r>
    </w:p>
    <w:p w14:paraId="10DA4309" w14:textId="691E0DA5" w:rsidR="00FF66BF" w:rsidRPr="008D1B34" w:rsidRDefault="00FF66BF" w:rsidP="00FF66BF">
      <w:pPr>
        <w:pStyle w:val="Heading2"/>
      </w:pPr>
      <w:r w:rsidRPr="008D1B34">
        <w:t>References</w:t>
      </w:r>
    </w:p>
    <w:p w14:paraId="76504BA4" w14:textId="77777777" w:rsidR="00BF76C1" w:rsidRPr="00AD6609" w:rsidRDefault="00BF76C1" w:rsidP="00BF76C1">
      <w:pPr>
        <w:pStyle w:val="ReferenceOrdered"/>
        <w:rPr>
          <w:lang w:val="fr-FR"/>
        </w:rPr>
      </w:pPr>
      <w:r w:rsidRPr="00AD6609">
        <w:rPr>
          <w:lang w:val="fr-FR"/>
        </w:rPr>
        <w:t xml:space="preserve">Xolremdi [package insert]. Boston, </w:t>
      </w:r>
      <w:proofErr w:type="gramStart"/>
      <w:r w:rsidRPr="00AD6609">
        <w:rPr>
          <w:lang w:val="fr-FR"/>
        </w:rPr>
        <w:t>MA:</w:t>
      </w:r>
      <w:proofErr w:type="gramEnd"/>
      <w:r w:rsidRPr="00AD6609">
        <w:rPr>
          <w:lang w:val="fr-FR"/>
        </w:rPr>
        <w:t xml:space="preserve"> X4 Pharmaceuticals, Inc.; April 2024.</w:t>
      </w:r>
    </w:p>
    <w:p w14:paraId="0172BAA8" w14:textId="77777777" w:rsidR="00BF76C1" w:rsidRDefault="00BF76C1" w:rsidP="00BF76C1">
      <w:pPr>
        <w:pStyle w:val="ReferenceOrdered"/>
      </w:pPr>
      <w:r>
        <w:lastRenderedPageBreak/>
        <w:t>National Organization for Rare Disorders (NORD). WHIM syndrome. Rare Disease Database. https://rarediseases.org. Published 2013. Last updated January 16, 2024. Accessed May 9, 2024.</w:t>
      </w:r>
    </w:p>
    <w:p w14:paraId="47E1A10C" w14:textId="1B385F33" w:rsidR="00C44990" w:rsidRPr="00FD40F6" w:rsidRDefault="00BF76C1" w:rsidP="00FD40F6">
      <w:pPr>
        <w:pStyle w:val="ReferenceOrdered"/>
      </w:pPr>
      <w:r>
        <w:t xml:space="preserve">Badolato R, Donadieu J, WHIM Research Group. How I treat warts, hypogammaglobulinemia, infections, and myelokathexis syndrome. Blood. 2017;130(23):2491-2498. </w:t>
      </w:r>
      <w:proofErr w:type="spellStart"/>
      <w:r>
        <w:t>doi</w:t>
      </w:r>
      <w:proofErr w:type="spellEnd"/>
      <w:r>
        <w:t>: 10.1182/blood-2017-02-708552</w:t>
      </w:r>
    </w:p>
    <w:sectPr w:rsidR="00C44990" w:rsidRPr="00FD40F6"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018B" w14:textId="77777777" w:rsidR="00857972" w:rsidRDefault="00857972">
      <w:r>
        <w:separator/>
      </w:r>
    </w:p>
  </w:endnote>
  <w:endnote w:type="continuationSeparator" w:id="0">
    <w:p w14:paraId="7447D0C4" w14:textId="77777777" w:rsidR="00857972" w:rsidRDefault="00857972">
      <w:r>
        <w:continuationSeparator/>
      </w:r>
    </w:p>
  </w:endnote>
  <w:endnote w:type="continuationNotice" w:id="1">
    <w:p w14:paraId="4539B2C5" w14:textId="77777777" w:rsidR="00857972" w:rsidRDefault="00857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21CE852"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012A3" w:rsidRPr="001012A3">
      <w:rPr>
        <w:rFonts w:cs="Arial"/>
        <w:noProof/>
        <w:sz w:val="16"/>
        <w:szCs w:val="16"/>
      </w:rPr>
      <w:t>Xolremdi</w:t>
    </w:r>
    <w:r w:rsidR="001012A3">
      <w:rPr>
        <w:rFonts w:cs="Arial"/>
        <w:noProof/>
        <w:snapToGrid w:val="0"/>
        <w:color w:val="000000"/>
        <w:sz w:val="16"/>
        <w:szCs w:val="16"/>
      </w:rPr>
      <w:t xml:space="preserve"> SGM 6492-A</w:t>
    </w:r>
    <w:r w:rsidR="001012A3" w:rsidRPr="001012A3">
      <w:rPr>
        <w:rFonts w:cs="Arial"/>
        <w:noProof/>
        <w:sz w:val="16"/>
        <w:szCs w:val="16"/>
      </w:rPr>
      <w:t xml:space="preserve"> P2024a</w:t>
    </w:r>
    <w:r w:rsidR="001012A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C232D0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028110F" w:rsidR="00F75C81" w:rsidRPr="00FD40F6" w:rsidRDefault="00C36B72" w:rsidP="00FD40F6">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3307B" w14:textId="67A39828" w:rsidR="00AD6609" w:rsidRPr="00EC47B6" w:rsidRDefault="00AD6609" w:rsidP="00AD6609">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B4307" w:rsidRPr="009B4307">
      <w:rPr>
        <w:rFonts w:cs="Arial"/>
        <w:noProof/>
        <w:sz w:val="16"/>
        <w:szCs w:val="16"/>
      </w:rPr>
      <w:t>Xolremdi</w:t>
    </w:r>
    <w:r w:rsidR="009B4307">
      <w:rPr>
        <w:rFonts w:cs="Arial"/>
        <w:noProof/>
        <w:snapToGrid w:val="0"/>
        <w:color w:val="000000"/>
        <w:sz w:val="16"/>
        <w:szCs w:val="16"/>
      </w:rPr>
      <w:t xml:space="preserve"> SGM 6492-A</w:t>
    </w:r>
    <w:r w:rsidR="009B4307" w:rsidRPr="009B4307">
      <w:rPr>
        <w:rFonts w:cs="Arial"/>
        <w:noProof/>
        <w:sz w:val="16"/>
        <w:szCs w:val="16"/>
      </w:rPr>
      <w:t xml:space="preserve"> P2024a</w:t>
    </w:r>
    <w:r w:rsidR="009B4307">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5E57EA59" w14:textId="0CD4B29E" w:rsidR="00AD6609" w:rsidRPr="00EC47B6" w:rsidRDefault="00AD6609" w:rsidP="00AD6609">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D26D60" w14:textId="2AA4BC33" w:rsidR="00AD6609" w:rsidRPr="00FD40F6" w:rsidRDefault="00AD6609" w:rsidP="00FD40F6">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DEE0E" w14:textId="77777777" w:rsidR="00857972" w:rsidRDefault="00857972">
      <w:r>
        <w:separator/>
      </w:r>
    </w:p>
  </w:footnote>
  <w:footnote w:type="continuationSeparator" w:id="0">
    <w:p w14:paraId="345D9F53" w14:textId="77777777" w:rsidR="00857972" w:rsidRDefault="00857972">
      <w:r>
        <w:continuationSeparator/>
      </w:r>
    </w:p>
  </w:footnote>
  <w:footnote w:type="continuationNotice" w:id="1">
    <w:p w14:paraId="0CF5ADCD" w14:textId="77777777" w:rsidR="00857972" w:rsidRDefault="00857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AD6609" w14:paraId="16262E63" w14:textId="77777777">
      <w:trPr>
        <w:trHeight w:val="144"/>
        <w:jc w:val="right"/>
      </w:trPr>
      <w:tc>
        <w:tcPr>
          <w:tcW w:w="1854" w:type="dxa"/>
          <w:hideMark/>
        </w:tcPr>
        <w:p w14:paraId="18F550B7" w14:textId="77777777" w:rsidR="00ED04EC" w:rsidRPr="00AD6609" w:rsidRDefault="00ED04EC" w:rsidP="00AD6609">
          <w:pPr>
            <w:pStyle w:val="RefTableData"/>
          </w:pPr>
          <w:r w:rsidRPr="00AD6609">
            <w:t>Reference number(s)</w:t>
          </w:r>
        </w:p>
      </w:tc>
    </w:tr>
    <w:tr w:rsidR="00ED04EC" w:rsidRPr="00AD6609" w14:paraId="703C6588" w14:textId="77777777">
      <w:trPr>
        <w:trHeight w:val="378"/>
        <w:jc w:val="right"/>
      </w:trPr>
      <w:tc>
        <w:tcPr>
          <w:tcW w:w="1854" w:type="dxa"/>
          <w:hideMark/>
        </w:tcPr>
        <w:p w14:paraId="51CE3E64" w14:textId="000BB5C2" w:rsidR="00ED04EC" w:rsidRPr="00AD6609" w:rsidRDefault="00BF76C1" w:rsidP="00AD6609">
          <w:pPr>
            <w:pStyle w:val="RefTableData"/>
          </w:pPr>
          <w:r w:rsidRPr="00AD6609">
            <w:t>6492-A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BF3120"/>
    <w:multiLevelType w:val="hybridMultilevel"/>
    <w:tmpl w:val="AC90A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5A3646"/>
    <w:multiLevelType w:val="hybridMultilevel"/>
    <w:tmpl w:val="437C5BE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12483A"/>
    <w:multiLevelType w:val="hybridMultilevel"/>
    <w:tmpl w:val="437C5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19"/>
  </w:num>
  <w:num w:numId="3" w16cid:durableId="611589570">
    <w:abstractNumId w:val="1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5"/>
  </w:num>
  <w:num w:numId="17" w16cid:durableId="2128498676">
    <w:abstractNumId w:val="21"/>
  </w:num>
  <w:num w:numId="18" w16cid:durableId="299724409">
    <w:abstractNumId w:val="18"/>
  </w:num>
  <w:num w:numId="19" w16cid:durableId="214585573">
    <w:abstractNumId w:val="14"/>
  </w:num>
  <w:num w:numId="20" w16cid:durableId="1066490929">
    <w:abstractNumId w:val="22"/>
  </w:num>
  <w:num w:numId="21" w16cid:durableId="890921410">
    <w:abstractNumId w:val="11"/>
  </w:num>
  <w:num w:numId="22" w16cid:durableId="2132162536">
    <w:abstractNumId w:val="20"/>
  </w:num>
  <w:num w:numId="23" w16cid:durableId="1330329174">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298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06F"/>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4563"/>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3"/>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730"/>
    <w:rsid w:val="00155A51"/>
    <w:rsid w:val="001560C4"/>
    <w:rsid w:val="00156A50"/>
    <w:rsid w:val="00156B77"/>
    <w:rsid w:val="00156E31"/>
    <w:rsid w:val="00160472"/>
    <w:rsid w:val="00162951"/>
    <w:rsid w:val="001630B4"/>
    <w:rsid w:val="00165258"/>
    <w:rsid w:val="00165670"/>
    <w:rsid w:val="00165A99"/>
    <w:rsid w:val="00165DBB"/>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6E7"/>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5F6D"/>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5801"/>
    <w:rsid w:val="001F6065"/>
    <w:rsid w:val="001F629F"/>
    <w:rsid w:val="001F6363"/>
    <w:rsid w:val="001F6373"/>
    <w:rsid w:val="001F6F6F"/>
    <w:rsid w:val="001F7310"/>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571B6"/>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2B"/>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5D8"/>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4F5"/>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732"/>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3CD4"/>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59C"/>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8E1"/>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1EA"/>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16C"/>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694C"/>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5ADB"/>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6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57972"/>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2B4"/>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6DA9"/>
    <w:rsid w:val="00937266"/>
    <w:rsid w:val="00940AA9"/>
    <w:rsid w:val="00941264"/>
    <w:rsid w:val="0094143E"/>
    <w:rsid w:val="00942522"/>
    <w:rsid w:val="0094296E"/>
    <w:rsid w:val="0094298C"/>
    <w:rsid w:val="009434B3"/>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4307"/>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09"/>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B7B57"/>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6C1"/>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86A"/>
    <w:rsid w:val="00CC5E15"/>
    <w:rsid w:val="00CC63BD"/>
    <w:rsid w:val="00CC6AA8"/>
    <w:rsid w:val="00CC6D21"/>
    <w:rsid w:val="00CC76FA"/>
    <w:rsid w:val="00CD03D0"/>
    <w:rsid w:val="00CD04D5"/>
    <w:rsid w:val="00CD0836"/>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21D"/>
    <w:rsid w:val="00D5331B"/>
    <w:rsid w:val="00D54F3E"/>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9B5"/>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5D"/>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1AA3"/>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AB2"/>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0F6"/>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701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0E41D-7FCE-43FE-A21C-5A0E95529440}"/>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Xolremdi 6492-A SGM 2024a</vt:lpstr>
    </vt:vector>
  </TitlesOfParts>
  <Company>PCS Health Systems</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Xolremdi 6492-A SGM 2024a</dc:title>
  <dc:subject/>
  <dc:creator>CVS Caremark</dc:creator>
  <cp:keywords/>
  <cp:lastModifiedBy>Pan, Stacey J</cp:lastModifiedBy>
  <cp:revision>17</cp:revision>
  <cp:lastPrinted>2018-01-09T11:01:00Z</cp:lastPrinted>
  <dcterms:created xsi:type="dcterms:W3CDTF">2024-07-19T10:04:00Z</dcterms:created>
  <dcterms:modified xsi:type="dcterms:W3CDTF">2024-10-31T17:50:00Z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1600900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